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3A" w:rsidRDefault="0030543A" w:rsidP="0030543A">
      <w:pPr>
        <w:rPr>
          <w:i/>
        </w:rPr>
      </w:pPr>
    </w:p>
    <w:p w:rsidR="0030543A" w:rsidRPr="00415093" w:rsidRDefault="0030543A" w:rsidP="0030543A">
      <w:pPr>
        <w:rPr>
          <w:rFonts w:ascii="Trebuchet MS" w:hAnsi="Trebuchet MS"/>
          <w:b/>
          <w:i/>
        </w:rPr>
      </w:pPr>
      <w:r w:rsidRPr="00415093">
        <w:rPr>
          <w:b/>
          <w:i/>
        </w:rPr>
        <w:t>Scoring Rubric:</w:t>
      </w:r>
      <w:r w:rsidRPr="00415093">
        <w:rPr>
          <w:rFonts w:ascii="Trebuchet MS" w:hAnsi="Trebuchet MS"/>
          <w:b/>
          <w:i/>
        </w:rPr>
        <w:t xml:space="preserve"> </w:t>
      </w:r>
    </w:p>
    <w:p w:rsidR="0030543A" w:rsidRDefault="0030543A" w:rsidP="0030543A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t>Assessment of Service-</w:t>
      </w:r>
      <w:r w:rsidRPr="00CF78BB">
        <w:rPr>
          <w:bCs/>
          <w:sz w:val="22"/>
          <w:szCs w:val="22"/>
        </w:rPr>
        <w:t xml:space="preserve">Learning GE Courses </w:t>
      </w:r>
    </w:p>
    <w:p w:rsidR="0030543A" w:rsidRDefault="0030543A" w:rsidP="0030543A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:rsidR="0030543A" w:rsidRPr="00CF78BB" w:rsidRDefault="0030543A" w:rsidP="0030543A">
      <w:pPr>
        <w:pStyle w:val="Default"/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 w:rsidRPr="00CF78BB">
        <w:rPr>
          <w:bCs/>
          <w:sz w:val="22"/>
          <w:szCs w:val="22"/>
        </w:rPr>
        <w:t xml:space="preserve">This scoring rubric is designed to help instructors and members of relevant committees assess how well students are meeting the ELOs as reflected in end-of-course reflection assignments. Students are not expected to have acquired all the knowledge, skills, and attitudes/perspectives listed under the various ELOs in order to complete the assignment satisfactorily. At a minimum, students are expected to meet Milestone 2. </w:t>
      </w:r>
    </w:p>
    <w:p w:rsidR="0030543A" w:rsidRPr="00CF78BB" w:rsidRDefault="0030543A" w:rsidP="0030543A">
      <w:pPr>
        <w:spacing w:after="120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30543A" w:rsidRPr="007B33D4" w:rsidTr="00D43D7E">
        <w:tc>
          <w:tcPr>
            <w:tcW w:w="1915" w:type="dxa"/>
          </w:tcPr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>
            <w:r w:rsidRPr="007B33D4">
              <w:rPr>
                <w:sz w:val="22"/>
                <w:szCs w:val="22"/>
              </w:rPr>
              <w:t>Capstone</w:t>
            </w:r>
          </w:p>
          <w:p w:rsidR="0030543A" w:rsidRPr="007B33D4" w:rsidRDefault="0030543A" w:rsidP="00D43D7E">
            <w:r w:rsidRPr="007B33D4">
              <w:rPr>
                <w:sz w:val="22"/>
                <w:szCs w:val="22"/>
              </w:rPr>
              <w:t>(4)</w:t>
            </w:r>
          </w:p>
        </w:tc>
        <w:tc>
          <w:tcPr>
            <w:tcW w:w="1915" w:type="dxa"/>
          </w:tcPr>
          <w:p w:rsidR="0030543A" w:rsidRPr="007B33D4" w:rsidRDefault="0030543A" w:rsidP="00D43D7E">
            <w:r w:rsidRPr="007B33D4">
              <w:rPr>
                <w:sz w:val="22"/>
                <w:szCs w:val="22"/>
              </w:rPr>
              <w:t xml:space="preserve">Milestone </w:t>
            </w:r>
          </w:p>
          <w:p w:rsidR="0030543A" w:rsidRPr="007B33D4" w:rsidRDefault="0030543A" w:rsidP="00D43D7E">
            <w:r w:rsidRPr="007B33D4">
              <w:rPr>
                <w:sz w:val="22"/>
                <w:szCs w:val="22"/>
              </w:rPr>
              <w:t>(3)</w:t>
            </w:r>
          </w:p>
        </w:tc>
        <w:tc>
          <w:tcPr>
            <w:tcW w:w="1915" w:type="dxa"/>
          </w:tcPr>
          <w:p w:rsidR="0030543A" w:rsidRPr="007B33D4" w:rsidRDefault="0030543A" w:rsidP="00D43D7E">
            <w:r w:rsidRPr="007B33D4">
              <w:rPr>
                <w:sz w:val="22"/>
                <w:szCs w:val="22"/>
              </w:rPr>
              <w:t>Milestone</w:t>
            </w:r>
          </w:p>
          <w:p w:rsidR="0030543A" w:rsidRPr="007B33D4" w:rsidRDefault="0030543A" w:rsidP="00D43D7E">
            <w:r w:rsidRPr="007B33D4">
              <w:rPr>
                <w:sz w:val="22"/>
                <w:szCs w:val="22"/>
              </w:rPr>
              <w:t>(2)</w:t>
            </w:r>
          </w:p>
        </w:tc>
        <w:tc>
          <w:tcPr>
            <w:tcW w:w="1916" w:type="dxa"/>
          </w:tcPr>
          <w:p w:rsidR="0030543A" w:rsidRPr="007B33D4" w:rsidRDefault="0030543A" w:rsidP="00D43D7E">
            <w:r w:rsidRPr="007B33D4">
              <w:rPr>
                <w:sz w:val="22"/>
                <w:szCs w:val="22"/>
              </w:rPr>
              <w:t xml:space="preserve">Benchmark </w:t>
            </w:r>
          </w:p>
          <w:p w:rsidR="0030543A" w:rsidRPr="007B33D4" w:rsidRDefault="0030543A" w:rsidP="00D43D7E">
            <w:r w:rsidRPr="007B33D4">
              <w:rPr>
                <w:sz w:val="22"/>
                <w:szCs w:val="22"/>
              </w:rPr>
              <w:t>(1)</w:t>
            </w:r>
          </w:p>
        </w:tc>
      </w:tr>
      <w:tr w:rsidR="0030543A" w:rsidRPr="007B33D4" w:rsidTr="00D43D7E">
        <w:tc>
          <w:tcPr>
            <w:tcW w:w="1915" w:type="dxa"/>
          </w:tcPr>
          <w:p w:rsidR="0030543A" w:rsidRPr="007B33D4" w:rsidRDefault="0030543A" w:rsidP="00D43D7E">
            <w:pPr>
              <w:pStyle w:val="Default"/>
              <w:rPr>
                <w:sz w:val="22"/>
                <w:szCs w:val="22"/>
              </w:rPr>
            </w:pPr>
            <w:r w:rsidRPr="007B33D4">
              <w:rPr>
                <w:b/>
                <w:bCs/>
                <w:sz w:val="22"/>
                <w:szCs w:val="22"/>
              </w:rPr>
              <w:t xml:space="preserve">(ELO1) </w:t>
            </w:r>
          </w:p>
          <w:p w:rsidR="0030543A" w:rsidRPr="007B33D4" w:rsidRDefault="0030543A" w:rsidP="00D43D7E">
            <w:pPr>
              <w:rPr>
                <w:b/>
              </w:rPr>
            </w:pPr>
            <w:r w:rsidRPr="007B33D4">
              <w:rPr>
                <w:b/>
                <w:sz w:val="22"/>
                <w:szCs w:val="22"/>
              </w:rPr>
              <w:t>Students make connections between concepts and skills learned in an academic setting and community-based work</w:t>
            </w:r>
          </w:p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Connects, analyzes, and extends knowledge (facts, theories, etc.)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 from course content to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earning activity. </w:t>
            </w:r>
          </w:p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Connects and analyzes knowledge (facts, theories, etc.)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 from course content to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earning activity.</w:t>
            </w:r>
          </w:p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Begins to connect knowledge (facts, theories, etc.)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 xml:space="preserve"> from course content to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earning activity.</w:t>
            </w:r>
          </w:p>
        </w:tc>
        <w:tc>
          <w:tcPr>
            <w:tcW w:w="1916" w:type="dxa"/>
          </w:tcPr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E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xpresses a limited, unclear connection of course content t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o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earning activity.  </w:t>
            </w:r>
          </w:p>
          <w:p w:rsidR="0030543A" w:rsidRPr="007B33D4" w:rsidRDefault="0030543A" w:rsidP="00D43D7E"/>
        </w:tc>
      </w:tr>
      <w:tr w:rsidR="0030543A" w:rsidRPr="007B33D4" w:rsidTr="00D43D7E">
        <w:tc>
          <w:tcPr>
            <w:tcW w:w="1915" w:type="dxa"/>
          </w:tcPr>
          <w:p w:rsidR="0030543A" w:rsidRPr="007B33D4" w:rsidRDefault="0030543A" w:rsidP="00D43D7E">
            <w:pPr>
              <w:pStyle w:val="Default"/>
              <w:rPr>
                <w:sz w:val="22"/>
                <w:szCs w:val="22"/>
              </w:rPr>
            </w:pPr>
            <w:r w:rsidRPr="007B33D4">
              <w:rPr>
                <w:b/>
                <w:bCs/>
                <w:sz w:val="22"/>
                <w:szCs w:val="22"/>
              </w:rPr>
              <w:t xml:space="preserve">(ELO2) </w:t>
            </w:r>
          </w:p>
          <w:p w:rsidR="0030543A" w:rsidRPr="007B33D4" w:rsidRDefault="0030543A" w:rsidP="00D43D7E">
            <w:r w:rsidRPr="007B33D4">
              <w:rPr>
                <w:b/>
                <w:sz w:val="22"/>
                <w:szCs w:val="22"/>
              </w:rPr>
              <w:t>Students demonstrate an understanding of the issues, resources, assets, and cultures of the community in which they are working.</w:t>
            </w:r>
          </w:p>
        </w:tc>
        <w:tc>
          <w:tcPr>
            <w:tcW w:w="1915" w:type="dxa"/>
          </w:tcPr>
          <w:p w:rsidR="0030543A" w:rsidRPr="007B33D4" w:rsidRDefault="0030543A" w:rsidP="00D43D7E"/>
          <w:p w:rsidR="0030543A" w:rsidRPr="006C2601" w:rsidRDefault="0030543A" w:rsidP="00D43D7E">
            <w:pPr>
              <w:rPr>
                <w:iCs/>
              </w:rPr>
            </w:pPr>
            <w:r w:rsidRPr="007B33D4">
              <w:rPr>
                <w:rFonts w:eastAsia="MS Mincho"/>
                <w:iCs/>
                <w:sz w:val="22"/>
                <w:szCs w:val="22"/>
              </w:rPr>
              <w:t xml:space="preserve">Articulates a thorough and complex understanding of the issues, resources, assets, and cultures of </w:t>
            </w:r>
            <w:r>
              <w:rPr>
                <w:rFonts w:eastAsia="MS Mincho"/>
                <w:iCs/>
                <w:sz w:val="22"/>
                <w:szCs w:val="22"/>
              </w:rPr>
              <w:t xml:space="preserve">the community in which he/she is </w:t>
            </w:r>
            <w:r w:rsidRPr="007B33D4">
              <w:rPr>
                <w:rFonts w:eastAsia="MS Mincho"/>
                <w:iCs/>
                <w:sz w:val="22"/>
                <w:szCs w:val="22"/>
              </w:rPr>
              <w:t xml:space="preserve">working. </w:t>
            </w:r>
          </w:p>
        </w:tc>
        <w:tc>
          <w:tcPr>
            <w:tcW w:w="1915" w:type="dxa"/>
          </w:tcPr>
          <w:p w:rsidR="0030543A" w:rsidRPr="007B33D4" w:rsidRDefault="0030543A" w:rsidP="00D43D7E"/>
          <w:p w:rsidR="0030543A" w:rsidRPr="007B33D4" w:rsidRDefault="0030543A" w:rsidP="00D43D7E">
            <w:r w:rsidRPr="007B33D4">
              <w:rPr>
                <w:rFonts w:eastAsia="MS Mincho"/>
                <w:iCs/>
                <w:sz w:val="22"/>
                <w:szCs w:val="22"/>
              </w:rPr>
              <w:t xml:space="preserve">Identifies and clearly understands the issues, resources, assets, and cultures of </w:t>
            </w:r>
            <w:r>
              <w:rPr>
                <w:rFonts w:eastAsia="MS Mincho"/>
                <w:iCs/>
                <w:sz w:val="22"/>
                <w:szCs w:val="22"/>
              </w:rPr>
              <w:t xml:space="preserve">the community in which he/she is </w:t>
            </w:r>
            <w:r w:rsidRPr="007B33D4">
              <w:rPr>
                <w:rFonts w:eastAsia="MS Mincho"/>
                <w:iCs/>
                <w:sz w:val="22"/>
                <w:szCs w:val="22"/>
              </w:rPr>
              <w:t>working.</w:t>
            </w:r>
          </w:p>
        </w:tc>
        <w:tc>
          <w:tcPr>
            <w:tcW w:w="1915" w:type="dxa"/>
          </w:tcPr>
          <w:p w:rsidR="0030543A" w:rsidRPr="007B33D4" w:rsidRDefault="0030543A" w:rsidP="00D43D7E"/>
          <w:p w:rsidR="0030543A" w:rsidRPr="007B33D4" w:rsidRDefault="0030543A" w:rsidP="00D43D7E">
            <w:pPr>
              <w:rPr>
                <w:rFonts w:eastAsia="MS Mincho"/>
                <w:iCs/>
              </w:rPr>
            </w:pPr>
            <w:r w:rsidRPr="007B33D4">
              <w:rPr>
                <w:rFonts w:eastAsia="MS Mincho"/>
                <w:iCs/>
                <w:sz w:val="22"/>
                <w:szCs w:val="22"/>
              </w:rPr>
              <w:t xml:space="preserve">Identifies the issues, resources, assets, and cultures of the community in which </w:t>
            </w:r>
            <w:r>
              <w:rPr>
                <w:rFonts w:eastAsia="MS Mincho"/>
                <w:iCs/>
                <w:sz w:val="22"/>
                <w:szCs w:val="22"/>
              </w:rPr>
              <w:t>he/she is</w:t>
            </w:r>
            <w:r w:rsidRPr="007B33D4">
              <w:rPr>
                <w:rFonts w:eastAsia="MS Mincho"/>
                <w:iCs/>
                <w:sz w:val="22"/>
                <w:szCs w:val="22"/>
              </w:rPr>
              <w:t xml:space="preserve"> working.  </w:t>
            </w:r>
          </w:p>
          <w:p w:rsidR="0030543A" w:rsidRPr="007B33D4" w:rsidRDefault="0030543A" w:rsidP="00D43D7E"/>
        </w:tc>
        <w:tc>
          <w:tcPr>
            <w:tcW w:w="1916" w:type="dxa"/>
          </w:tcPr>
          <w:p w:rsidR="0030543A" w:rsidRPr="007B33D4" w:rsidRDefault="0030543A" w:rsidP="00D43D7E"/>
          <w:p w:rsidR="0030543A" w:rsidRPr="007B33D4" w:rsidRDefault="0030543A" w:rsidP="00D43D7E">
            <w:pPr>
              <w:rPr>
                <w:rFonts w:eastAsia="MS Mincho"/>
                <w:iCs/>
              </w:rPr>
            </w:pPr>
            <w:r w:rsidRPr="007B33D4">
              <w:rPr>
                <w:rFonts w:eastAsia="MS Mincho"/>
                <w:iCs/>
                <w:sz w:val="22"/>
                <w:szCs w:val="22"/>
              </w:rPr>
              <w:t xml:space="preserve">Shows minimal awareness of the issues, resources, assets and cultures of the community in which </w:t>
            </w:r>
            <w:r>
              <w:rPr>
                <w:rFonts w:eastAsia="MS Mincho"/>
                <w:iCs/>
                <w:sz w:val="22"/>
                <w:szCs w:val="22"/>
              </w:rPr>
              <w:t>he/she is</w:t>
            </w:r>
            <w:r w:rsidRPr="007B33D4">
              <w:rPr>
                <w:rFonts w:eastAsia="MS Mincho"/>
                <w:iCs/>
                <w:sz w:val="22"/>
                <w:szCs w:val="22"/>
              </w:rPr>
              <w:t xml:space="preserve"> working. </w:t>
            </w:r>
          </w:p>
          <w:p w:rsidR="0030543A" w:rsidRPr="007B33D4" w:rsidRDefault="0030543A" w:rsidP="00D43D7E"/>
        </w:tc>
      </w:tr>
      <w:tr w:rsidR="0030543A" w:rsidRPr="007B33D4" w:rsidTr="00D43D7E">
        <w:tc>
          <w:tcPr>
            <w:tcW w:w="1915" w:type="dxa"/>
          </w:tcPr>
          <w:p w:rsidR="0030543A" w:rsidRPr="007B33D4" w:rsidRDefault="0030543A" w:rsidP="00D43D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33D4">
              <w:rPr>
                <w:b/>
                <w:bCs/>
                <w:sz w:val="22"/>
                <w:szCs w:val="22"/>
              </w:rPr>
              <w:t xml:space="preserve">(ELO3) </w:t>
            </w:r>
          </w:p>
          <w:p w:rsidR="0030543A" w:rsidRPr="007B33D4" w:rsidRDefault="0030543A" w:rsidP="00D43D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33D4">
              <w:rPr>
                <w:b/>
                <w:bCs/>
                <w:sz w:val="22"/>
                <w:szCs w:val="22"/>
              </w:rPr>
              <w:t>Students eval</w:t>
            </w:r>
            <w:r>
              <w:rPr>
                <w:b/>
                <w:bCs/>
                <w:sz w:val="22"/>
                <w:szCs w:val="22"/>
              </w:rPr>
              <w:t>uate the impacts of the service-</w:t>
            </w:r>
            <w:r w:rsidRPr="007B33D4">
              <w:rPr>
                <w:b/>
                <w:bCs/>
                <w:sz w:val="22"/>
                <w:szCs w:val="22"/>
              </w:rPr>
              <w:t xml:space="preserve">learning activity. </w:t>
            </w:r>
          </w:p>
          <w:p w:rsidR="0030543A" w:rsidRPr="007B33D4" w:rsidRDefault="0030543A" w:rsidP="00D43D7E">
            <w:pPr>
              <w:rPr>
                <w:b/>
              </w:rPr>
            </w:pPr>
          </w:p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</w:p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T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horoughly evaluates the i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mpacts of the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earning experience on 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himself /herself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, the organization, and also considers the long term impact of the work on the community.</w:t>
            </w:r>
          </w:p>
          <w:p w:rsidR="0030543A" w:rsidRPr="007B33D4" w:rsidRDefault="0030543A" w:rsidP="00D43D7E"/>
        </w:tc>
        <w:tc>
          <w:tcPr>
            <w:tcW w:w="1915" w:type="dxa"/>
          </w:tcPr>
          <w:p w:rsidR="0030543A" w:rsidRPr="007B33D4" w:rsidRDefault="0030543A" w:rsidP="00D43D7E"/>
          <w:p w:rsidR="0030543A" w:rsidRPr="007B33D4" w:rsidRDefault="0030543A" w:rsidP="00D43D7E">
            <w:pPr>
              <w:rPr>
                <w:rFonts w:eastAsia="MS Mincho"/>
                <w:iCs/>
                <w:color w:val="000000"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E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valu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ates the impacts of the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earning experience on 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himself /herself and the contributions that he/she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 made to the goals and aims of the organization.</w:t>
            </w:r>
          </w:p>
          <w:p w:rsidR="0030543A" w:rsidRPr="007B33D4" w:rsidRDefault="0030543A" w:rsidP="00D43D7E"/>
          <w:p w:rsidR="0030543A" w:rsidRPr="007B33D4" w:rsidRDefault="0030543A" w:rsidP="00D43D7E">
            <w:pPr>
              <w:jc w:val="center"/>
            </w:pPr>
          </w:p>
        </w:tc>
        <w:tc>
          <w:tcPr>
            <w:tcW w:w="1915" w:type="dxa"/>
          </w:tcPr>
          <w:p w:rsidR="0030543A" w:rsidRPr="007B33D4" w:rsidRDefault="0030543A" w:rsidP="00D43D7E"/>
          <w:p w:rsidR="0030543A" w:rsidRPr="007B33D4" w:rsidRDefault="0030543A" w:rsidP="00D43D7E">
            <w:pPr>
              <w:rPr>
                <w:iCs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E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valu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ates the impacts of the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earning experience on 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himself /herself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 xml:space="preserve">. </w:t>
            </w:r>
          </w:p>
          <w:p w:rsidR="0030543A" w:rsidRPr="007B33D4" w:rsidRDefault="0030543A" w:rsidP="00D43D7E"/>
        </w:tc>
        <w:tc>
          <w:tcPr>
            <w:tcW w:w="1916" w:type="dxa"/>
          </w:tcPr>
          <w:p w:rsidR="0030543A" w:rsidRPr="007B33D4" w:rsidRDefault="0030543A" w:rsidP="00D43D7E"/>
          <w:p w:rsidR="0030543A" w:rsidRPr="007B33D4" w:rsidRDefault="0030543A" w:rsidP="00D43D7E">
            <w:pPr>
              <w:rPr>
                <w:iCs/>
              </w:rPr>
            </w:pPr>
            <w:r>
              <w:rPr>
                <w:rFonts w:eastAsia="MS Mincho"/>
                <w:iCs/>
                <w:color w:val="000000"/>
                <w:sz w:val="22"/>
                <w:szCs w:val="22"/>
              </w:rPr>
              <w:t>M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inimally evalu</w:t>
            </w:r>
            <w:r>
              <w:rPr>
                <w:rFonts w:eastAsia="MS Mincho"/>
                <w:iCs/>
                <w:color w:val="000000"/>
                <w:sz w:val="22"/>
                <w:szCs w:val="22"/>
              </w:rPr>
              <w:t>ates the impacts of the service-l</w:t>
            </w:r>
            <w:r w:rsidRPr="007B33D4">
              <w:rPr>
                <w:rFonts w:eastAsia="MS Mincho"/>
                <w:iCs/>
                <w:color w:val="000000"/>
                <w:sz w:val="22"/>
                <w:szCs w:val="22"/>
              </w:rPr>
              <w:t>earning experience.</w:t>
            </w:r>
          </w:p>
        </w:tc>
      </w:tr>
    </w:tbl>
    <w:p w:rsidR="0030543A" w:rsidRDefault="0030543A" w:rsidP="0030543A"/>
    <w:p w:rsidR="0058689F" w:rsidRDefault="0058689F"/>
    <w:sectPr w:rsidR="0058689F" w:rsidSect="000D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30543A"/>
    <w:rsid w:val="0030543A"/>
    <w:rsid w:val="0058689F"/>
    <w:rsid w:val="00E1014A"/>
    <w:rsid w:val="00FC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5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1</cp:revision>
  <dcterms:created xsi:type="dcterms:W3CDTF">2016-11-03T12:56:00Z</dcterms:created>
  <dcterms:modified xsi:type="dcterms:W3CDTF">2016-11-03T12:57:00Z</dcterms:modified>
</cp:coreProperties>
</file>